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 w:after="0"/>
        <w:ind w:left="20"/>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Safeguarding Learner Policy</w:t>
      </w:r>
    </w:p>
    <w:p>
      <w:pPr>
        <w:pStyle w:val="BodyText"/>
        <w:spacing w:before="4" w:after="0"/>
        <w:rPr>
          <w:rFonts w:ascii="Times New Roman" w:hAnsi="Times New Roman"/>
          <w:sz w:val="27"/>
        </w:rPr>
      </w:pPr>
      <w:r>
        <w:rPr>
          <w:rFonts w:ascii="Times New Roman" w:hAnsi="Times New Roman"/>
          <w:sz w:val="2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Heading1"/>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staff working with children and vulnerable adults have a legal duty to work together</w:t>
      </w:r>
    </w:p>
    <w:p>
      <w:pPr>
        <w:pStyle w:val="BodyText"/>
        <w:spacing w:lineRule="exact" w:line="256" w:before="3"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 xml:space="preserve">to protect them from harm or abuse.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Safeguarding lead has </w:t>
      </w:r>
      <w:r>
        <w:rPr>
          <w:rFonts w:cs="Calibri" w:ascii="Calibri" w:hAnsi="Calibri" w:asciiTheme="minorHAnsi" w:cstheme="minorHAnsi" w:hAnsiTheme="minorHAnsi"/>
          <w:sz w:val="24"/>
          <w:szCs w:val="24"/>
        </w:rPr>
        <w:t xml:space="preserve">overall responsibility for the safeguarding of learners, and is responsible for ensuring the effectiveness of all work done to safeguard and promote the welfare of children and young people on programme.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 xml:space="preserve">Policy covers: </w:t>
      </w:r>
    </w:p>
    <w:p>
      <w:pPr>
        <w:pStyle w:val="BodyText"/>
        <w:numPr>
          <w:ilvl w:val="0"/>
          <w:numId w:val="2"/>
        </w:numPr>
        <w:spacing w:lineRule="exact" w:line="256" w:before="3" w:after="0"/>
        <w:rPr>
          <w:rFonts w:ascii="Calibri" w:hAnsi="Calibri" w:cs="Calibri" w:asciiTheme="minorHAnsi" w:cstheme="minorHAnsi" w:hAnsiTheme="minorHAnsi"/>
          <w:color w:val="333333"/>
          <w:sz w:val="24"/>
          <w:szCs w:val="24"/>
        </w:rPr>
      </w:pPr>
      <w:r>
        <w:rPr>
          <w:rFonts w:cs="Calibri" w:ascii="Calibri" w:hAnsi="Calibri" w:asciiTheme="minorHAnsi" w:cstheme="minorHAnsi" w:hAnsiTheme="minorHAnsi"/>
          <w:sz w:val="24"/>
          <w:szCs w:val="24"/>
        </w:rPr>
        <w:t>The recruitment and employment of staff working with vulnerable adults and the provision of a safe learning environment under the requirements of this</w:t>
      </w:r>
      <w:r>
        <w:rPr>
          <w:rFonts w:cs="Calibri" w:ascii="Calibri" w:hAnsi="Calibri" w:asciiTheme="minorHAnsi" w:cstheme="minorHAnsi" w:hAnsiTheme="minorHAnsi"/>
          <w:spacing w:val="-24"/>
          <w:sz w:val="24"/>
          <w:szCs w:val="24"/>
        </w:rPr>
        <w:t xml:space="preserve"> </w:t>
      </w:r>
      <w:r>
        <w:rPr>
          <w:rFonts w:cs="Calibri" w:ascii="Calibri" w:hAnsi="Calibri" w:asciiTheme="minorHAnsi" w:cstheme="minorHAnsi" w:hAnsiTheme="minorHAnsi"/>
          <w:sz w:val="24"/>
          <w:szCs w:val="24"/>
        </w:rPr>
        <w:t xml:space="preserve">act </w:t>
      </w:r>
    </w:p>
    <w:p>
      <w:pPr>
        <w:pStyle w:val="BodyText"/>
        <w:numPr>
          <w:ilvl w:val="0"/>
          <w:numId w:val="2"/>
        </w:numPr>
        <w:spacing w:lineRule="exact" w:line="256"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Training &amp; Development Manager &amp; HR department are responsible for ensuring that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follows safer recruitment procedures. This includes carrying out Disclosure and Baring checks on all staff working with vulnerable learners every three years. This also applies where staffs have already been checked by a previous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employer.</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340" w:right="1320" w:gutter="0" w:header="720" w:top="1020" w:footer="720" w:bottom="13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Statement of Intent:</w:t>
      </w:r>
    </w:p>
    <w:p>
      <w:pPr>
        <w:pStyle w:val="BodyText"/>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’s </w:t>
      </w:r>
      <w:r>
        <w:rPr>
          <w:rFonts w:cs="Calibri" w:ascii="Calibri" w:hAnsi="Calibri" w:asciiTheme="minorHAnsi" w:cstheme="minorHAnsi" w:hAnsiTheme="minorHAnsi"/>
          <w:sz w:val="24"/>
          <w:szCs w:val="24"/>
        </w:rPr>
        <w:t>first priority is to ensure the safety and protection of all learners</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taking part in learning. In order to protect young people and vulnerable adults from harm we</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will act in accordance with the following legislation and guidance: ‘No Secrets’ DH 2000</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Scope</w:t>
      </w:r>
    </w:p>
    <w:p>
      <w:pPr>
        <w:pStyle w:val="BodyText"/>
        <w:spacing w:before="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statement applies to all learning provided by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sz w:val="24"/>
          <w:szCs w:val="24"/>
        </w:rPr>
        <w:t>, and includes:</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learning provision for adults delivered directly by employed staff </w:t>
      </w:r>
    </w:p>
    <w:p>
      <w:pPr>
        <w:pStyle w:val="BodyText"/>
        <w:numPr>
          <w:ilvl w:val="0"/>
          <w:numId w:val="3"/>
        </w:numPr>
        <w:spacing w:lineRule="auto" w:line="288"/>
        <w:ind w:hanging="360" w:left="720" w:right="57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learning provision for adults commissioned through partnership</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arrangements</w:t>
      </w:r>
    </w:p>
    <w:p>
      <w:pPr>
        <w:pStyle w:val="Heading1"/>
        <w:spacing w:before="205" w:after="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Definitions</w:t>
      </w:r>
    </w:p>
    <w:p>
      <w:pPr>
        <w:pStyle w:val="BodyText"/>
        <w:spacing w:before="11"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00" w:right="11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Safeguarding</w:t>
      </w:r>
      <w:r>
        <w:rPr>
          <w:rFonts w:cs="Calibri" w:ascii="Calibri" w:hAnsi="Calibri" w:asciiTheme="minorHAnsi" w:cstheme="minorHAnsi" w:hAnsiTheme="minorHAnsi"/>
          <w:b/>
          <w:spacing w:val="-15"/>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term</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“safeguarding”</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describes</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broader</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preventative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precautionary approach to planning and procedures that are necessary to protect children, young people and vulnerable adults from any potential harm or</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damage.</w:t>
      </w:r>
    </w:p>
    <w:p>
      <w:pPr>
        <w:pStyle w:val="BodyText"/>
        <w:spacing w:lineRule="exact" w:line="252" w:before="1" w:after="0"/>
        <w:ind w:left="1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Safeguarding means:</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Protection from abuse and neglect </w:t>
      </w:r>
    </w:p>
    <w:p>
      <w:pPr>
        <w:pStyle w:val="BodyText"/>
        <w:numPr>
          <w:ilvl w:val="0"/>
          <w:numId w:val="4"/>
        </w:numPr>
        <w:spacing w:lineRule="auto" w:line="290"/>
        <w:ind w:hanging="360" w:left="720" w:right="47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Promotion of health and development</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safety and care relating to the environment and activity</w:t>
      </w:r>
    </w:p>
    <w:p>
      <w:pPr>
        <w:pStyle w:val="BodyText"/>
        <w:numPr>
          <w:ilvl w:val="0"/>
          <w:numId w:val="4"/>
        </w:numPr>
        <w:spacing w:lineRule="auto" w:line="290"/>
        <w:ind w:hanging="360" w:left="720" w:right="214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optimum life chances</w:t>
      </w:r>
    </w:p>
    <w:p>
      <w:pPr>
        <w:pStyle w:val="Normal"/>
        <w:spacing w:before="198" w:after="0"/>
        <w:ind w:left="100" w:right="115"/>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Child’</w:t>
      </w:r>
      <w:r>
        <w:rPr>
          <w:rFonts w:cs="Calibri" w:ascii="Calibri" w:hAnsi="Calibri" w:asciiTheme="minorHAnsi" w:cstheme="minorHAnsi" w:hAnsiTheme="minorHAnsi"/>
          <w:b/>
          <w:spacing w:val="-3"/>
          <w:sz w:val="24"/>
          <w:szCs w:val="24"/>
        </w:rPr>
        <w:t xml:space="preserve"> </w:t>
      </w:r>
      <w:r>
        <w:rPr>
          <w:rFonts w:cs="Calibri" w:ascii="Calibri" w:hAnsi="Calibri" w:asciiTheme="minorHAnsi" w:cstheme="minorHAnsi" w:hAnsiTheme="minorHAnsi"/>
          <w:b/>
          <w:sz w:val="24"/>
          <w:szCs w:val="24"/>
        </w:rPr>
        <w:t>or</w:t>
      </w:r>
      <w:r>
        <w:rPr>
          <w:rFonts w:cs="Calibri" w:ascii="Calibri" w:hAnsi="Calibri" w:asciiTheme="minorHAnsi" w:cstheme="minorHAnsi" w:hAnsiTheme="minorHAnsi"/>
          <w:b/>
          <w:spacing w:val="-6"/>
          <w:sz w:val="24"/>
          <w:szCs w:val="24"/>
        </w:rPr>
        <w:t xml:space="preserve"> </w:t>
      </w:r>
      <w:r>
        <w:rPr>
          <w:rFonts w:cs="Calibri" w:ascii="Calibri" w:hAnsi="Calibri" w:asciiTheme="minorHAnsi" w:cstheme="minorHAnsi" w:hAnsiTheme="minorHAnsi"/>
          <w:b/>
          <w:sz w:val="24"/>
          <w:szCs w:val="24"/>
        </w:rPr>
        <w:t>‘Young</w:t>
      </w:r>
      <w:r>
        <w:rPr>
          <w:rFonts w:cs="Calibri" w:ascii="Calibri" w:hAnsi="Calibri" w:asciiTheme="minorHAnsi" w:cstheme="minorHAnsi" w:hAnsiTheme="minorHAnsi"/>
          <w:b/>
          <w:spacing w:val="-2"/>
          <w:sz w:val="24"/>
          <w:szCs w:val="24"/>
        </w:rPr>
        <w:t xml:space="preserve"> </w:t>
      </w:r>
      <w:r>
        <w:rPr>
          <w:rFonts w:cs="Calibri" w:ascii="Calibri" w:hAnsi="Calibri" w:asciiTheme="minorHAnsi" w:cstheme="minorHAnsi" w:hAnsiTheme="minorHAnsi"/>
          <w:b/>
          <w:sz w:val="24"/>
          <w:szCs w:val="24"/>
        </w:rPr>
        <w:t>Adult’</w:t>
      </w:r>
      <w:r>
        <w:rPr>
          <w:rFonts w:cs="Calibri" w:ascii="Calibri" w:hAnsi="Calibri" w:asciiTheme="minorHAnsi" w:cstheme="minorHAnsi" w:hAnsiTheme="minorHAnsi"/>
          <w:b/>
          <w:spacing w:val="-1"/>
          <w:sz w:val="24"/>
          <w:szCs w:val="24"/>
        </w:rPr>
        <w:t xml:space="preserve"> </w:t>
      </w:r>
      <w:r>
        <w:rPr>
          <w:rFonts w:cs="Calibri" w:ascii="Calibri" w:hAnsi="Calibri" w:asciiTheme="minorHAnsi" w:cstheme="minorHAnsi" w:hAnsiTheme="minorHAnsi"/>
          <w:sz w:val="24"/>
          <w:szCs w:val="24"/>
        </w:rPr>
        <w:t>An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individual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considered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be</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young</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person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up</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their 18th</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birthday</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 xml:space="preserve">Vulnerable Adult’ </w:t>
      </w:r>
      <w:r>
        <w:rPr>
          <w:rFonts w:cs="Calibri" w:ascii="Calibri" w:hAnsi="Calibri" w:asciiTheme="minorHAnsi" w:cstheme="minorHAnsi" w:hAnsi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pPr>
        <w:pStyle w:val="BodyText"/>
        <w:spacing w:before="1" w:after="0"/>
        <w:ind w:hanging="720" w:left="820"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hanging="72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list below is not exhaustive but a vulnerable adult may be someone</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who: is elderly and frail</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mental disorder</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physical or sensory disability has a severe physical illness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 a substance misuser is homeless</w:t>
      </w:r>
    </w:p>
    <w:p>
      <w:pPr>
        <w:pStyle w:val="BodyText"/>
        <w:numPr>
          <w:ilvl w:val="0"/>
          <w:numId w:val="5"/>
        </w:numPr>
        <w:spacing w:before="1" w:after="0"/>
        <w:ind w:hanging="360" w:left="820" w:right="16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learning disability</w:t>
      </w:r>
    </w:p>
    <w:p>
      <w:pPr>
        <w:pStyle w:val="BodyText"/>
        <w:spacing w:before="1" w:after="0"/>
        <w:ind w:right="1645"/>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Abuse’ is</w:t>
      </w:r>
    </w:p>
    <w:p>
      <w:pPr>
        <w:pStyle w:val="BodyText"/>
        <w:spacing w:before="3" w:after="0"/>
        <w:ind w:left="100" w:right="16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 violation of an individual’s human and civil rights by any other person or persons” (‘No Secrets’ DH 2000). Abuse may consist of a single act or repeated acts, abuse may happen intentionally or unintentionally and can take place in any relationship or setting. Examples of abuse that could occur in a learning environment include:</w:t>
      </w:r>
    </w:p>
    <w:p>
      <w:pPr>
        <w:pStyle w:val="BodyText"/>
        <w:spacing w:lineRule="exact" w:line="252"/>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Physical abuse – shoving, hitting, slapping</w:t>
      </w:r>
    </w:p>
    <w:p>
      <w:pPr>
        <w:pStyle w:val="BodyText"/>
        <w:spacing w:before="54"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Sexual abuse - involvement in any direct or indirect (e.g. innuendo, pornography) activity against the learner’s will or knowledge</w:t>
      </w:r>
    </w:p>
    <w:p>
      <w:pPr>
        <w:pStyle w:val="BodyText"/>
        <w:spacing w:lineRule="auto" w:line="290" w:before="53" w:after="0"/>
        <w:ind w:left="820" w:right="158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Emotional/psychological abuse e.g. intimidation, bullying or humiliation Discriminatory abuse e.g. racial, sexual or religious harassment Financial or material exploitation e.g. coercing money or goods</w:t>
      </w:r>
    </w:p>
    <w:p>
      <w:pPr>
        <w:pStyle w:val="BodyText"/>
        <w:ind w:left="82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Institutional abuse e.g. failure to ensure privacy, dignity or uphold individual human and civil rights.</w:t>
      </w:r>
    </w:p>
    <w:p>
      <w:pPr>
        <w:pStyle w:val="BodyText"/>
        <w:spacing w:before="53" w:after="0"/>
        <w:ind w:left="8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Neglect or acts of omission e.g. ignoring physical or medical needs, failure to access appropriate health, social care or educational services, withholding medication.</w:t>
      </w:r>
    </w:p>
    <w:p>
      <w:pPr>
        <w:pStyle w:val="BodyText"/>
        <w:spacing w:before="5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0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 abuser: may be anyone including relatives, friends, professional staff, other learners and service-users, neighbours, care workers, volunteers, and strangers.</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Policy Statement</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is committed to promoting safeguarding through the provision  of an</w:t>
      </w:r>
    </w:p>
    <w:p>
      <w:pPr>
        <w:pStyle w:val="BodyText"/>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inclusive, supportive and safe environment for its learners, staff and others closely associated with its work and affirms the rights of individuals to be treated fairly and with respect.</w:t>
      </w:r>
    </w:p>
    <w:p>
      <w:pPr>
        <w:pStyle w:val="BodyText"/>
        <w:spacing w:before="94" w:after="0"/>
        <w:ind w:left="46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color w:val="333333"/>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intends to pursue this commitment by</w:t>
      </w:r>
    </w:p>
    <w:p>
      <w:pPr>
        <w:pStyle w:val="Heading1"/>
        <w:numPr>
          <w:ilvl w:val="0"/>
          <w:numId w:val="1"/>
        </w:numPr>
        <w:tabs>
          <w:tab w:val="clear" w:pos="720"/>
          <w:tab w:val="left" w:pos="343" w:leader="none"/>
        </w:tabs>
        <w:spacing w:before="0" w:after="0"/>
        <w:ind w:hanging="0" w:left="100" w:right="13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culture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value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respect</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within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supportive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1"/>
          <w:numId w:val="6"/>
        </w:numPr>
        <w:spacing w:before="63" w:after="0"/>
        <w:ind w:hanging="360" w:left="1440" w:right="156"/>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that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learning</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support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contact with learners have a current Disclosure and Barring check for working with adults and/or</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children</w:t>
      </w:r>
    </w:p>
    <w:p>
      <w:pPr>
        <w:pStyle w:val="BodyText"/>
        <w:numPr>
          <w:ilvl w:val="1"/>
          <w:numId w:val="6"/>
        </w:numPr>
        <w:spacing w:before="54" w:after="0"/>
        <w:ind w:hanging="360" w:left="1440" w:right="15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accessible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subcontracting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providers on equality, diversity, bullying, harassment, dignity and respect in the learning environment</w:t>
      </w:r>
    </w:p>
    <w:p>
      <w:pPr>
        <w:pStyle w:val="BodyText"/>
        <w:numPr>
          <w:ilvl w:val="1"/>
          <w:numId w:val="6"/>
        </w:numPr>
        <w:spacing w:before="54" w:after="0"/>
        <w:ind w:hanging="360" w:left="1440" w:right="15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will provide opportunities for adults and young people to voice any concerns they may have regarding inappropriate behaviour, abuse, harassment or misconduct and providing strong sanctions to deter victimisation or cover up of malpractice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numPr>
          <w:ilvl w:val="1"/>
          <w:numId w:val="6"/>
        </w:numPr>
        <w:spacing w:before="5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Supply information to learners</w:t>
      </w:r>
      <w:r>
        <w:rPr>
          <w:rFonts w:cs="Calibri" w:ascii="Calibri" w:hAnsi="Calibri" w:asciiTheme="minorHAnsi" w:cstheme="minorHAnsi" w:hAnsiTheme="minorHAnsi"/>
          <w:spacing w:val="60"/>
          <w:sz w:val="24"/>
          <w:szCs w:val="24"/>
        </w:rPr>
        <w:t xml:space="preserve"> </w:t>
      </w:r>
      <w:r>
        <w:rPr>
          <w:rFonts w:cs="Calibri" w:ascii="Calibri" w:hAnsi="Calibri" w:asciiTheme="minorHAnsi" w:cstheme="minorHAnsi" w:hAnsiTheme="minorHAnsi"/>
          <w:sz w:val="24"/>
          <w:szCs w:val="24"/>
        </w:rPr>
        <w:t xml:space="preserve">on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procedures for following</w:t>
      </w:r>
    </w:p>
    <w:p>
      <w:pPr>
        <w:pStyle w:val="BodyText"/>
        <w:spacing w:before="1" w:after="0"/>
        <w:ind w:left="144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 complaints relating to the conduct of tutoring staff and/or other learners</w:t>
      </w:r>
    </w:p>
    <w:p>
      <w:pPr>
        <w:pStyle w:val="BodyText"/>
        <w:numPr>
          <w:ilvl w:val="1"/>
          <w:numId w:val="6"/>
        </w:numPr>
        <w:spacing w:before="53" w:after="0"/>
        <w:ind w:hanging="360" w:left="1440" w:right="7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Require all tutoring staff and others associated with the delivery of our provision to carry and produce appropriate identification on request</w:t>
      </w:r>
    </w:p>
    <w:p>
      <w:pPr>
        <w:pStyle w:val="BodyText"/>
        <w:numPr>
          <w:ilvl w:val="1"/>
          <w:numId w:val="6"/>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 that premises used to deliver learning activities are risk assessed by appropriately trained staff</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learning activities are risk assessed by appropriately trained staff </w:t>
      </w:r>
    </w:p>
    <w:p>
      <w:pPr>
        <w:pStyle w:val="BodyText"/>
        <w:numPr>
          <w:ilvl w:val="1"/>
          <w:numId w:val="6"/>
        </w:numPr>
        <w:spacing w:lineRule="auto" w:line="288" w:before="55" w:after="0"/>
        <w:ind w:hanging="360" w:left="1440" w:right="69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care and safety issues and concerns are reported </w:t>
      </w:r>
    </w:p>
    <w:p>
      <w:pPr>
        <w:pStyle w:val="Heading1"/>
        <w:numPr>
          <w:ilvl w:val="0"/>
          <w:numId w:val="1"/>
        </w:numPr>
        <w:tabs>
          <w:tab w:val="clear" w:pos="720"/>
          <w:tab w:val="left" w:pos="350" w:leader="none"/>
        </w:tabs>
        <w:spacing w:before="202" w:after="0"/>
        <w:ind w:hanging="0" w:left="100" w:right="16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Information, training and briefings on safeguarding vulnerable adults and children that</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includes:</w:t>
      </w:r>
    </w:p>
    <w:p>
      <w:pPr>
        <w:pStyle w:val="BodyText"/>
        <w:numPr>
          <w:ilvl w:val="1"/>
          <w:numId w:val="7"/>
        </w:numPr>
        <w:spacing w:before="6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Include information on Safeguarding as part of learner induction</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information to tutoring staff and learners about the standards we expect with regard to confidentiality and disclosure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6"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numPr>
          <w:ilvl w:val="1"/>
          <w:numId w:val="7"/>
        </w:numPr>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appropriate training for tutoring staff on safeguarding, disclosure and diversity matters</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Distribute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signs</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abuse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action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take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if/when abuse 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reported.</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accessible information for learners, and tutoring staff on the complaint’s procedure</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headline information for learners on safeguarding, e-safety, bullying and harassment equality of opportunity and diversity.</w:t>
      </w:r>
    </w:p>
    <w:p>
      <w:pPr>
        <w:pStyle w:val="BodyText"/>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learners with the name of the designated safeguarding contact and the procedure to be followed in the case of any alleged case of bullying or harassment</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numPr>
          <w:ilvl w:val="0"/>
          <w:numId w:val="1"/>
        </w:numPr>
        <w:tabs>
          <w:tab w:val="clear" w:pos="720"/>
          <w:tab w:val="left" w:pos="343" w:leader="none"/>
        </w:tabs>
        <w:spacing w:before="0" w:after="0"/>
        <w:ind w:hanging="0" w:left="100" w:right="11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Gathering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analysing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from</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matters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related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feeling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 in the 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BodyText"/>
        <w:numPr>
          <w:ilvl w:val="0"/>
          <w:numId w:val="8"/>
        </w:numPr>
        <w:spacing w:lineRule="auto" w:line="240"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Generate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questions</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feedback</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form</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elicit</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how</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feel</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learning environment</w:t>
      </w:r>
    </w:p>
    <w:p>
      <w:pPr>
        <w:pStyle w:val="BodyText"/>
        <w:numPr>
          <w:ilvl w:val="0"/>
          <w:numId w:val="8"/>
        </w:numPr>
        <w:spacing w:before="5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Analyse the information obtained and acting on the results</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Monitoring the effectiveness of this Safeguarding Policy and reviewing it annually</w:t>
      </w:r>
    </w:p>
    <w:p>
      <w:pPr>
        <w:pStyle w:val="BodyText"/>
        <w:numPr>
          <w:ilvl w:val="0"/>
          <w:numId w:val="9"/>
        </w:numPr>
        <w:spacing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 the safeguarding practices within provision</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Identify and sharing good practice in safeguarding with subcontracted providers</w:t>
      </w:r>
    </w:p>
    <w:p>
      <w:pPr>
        <w:pStyle w:val="BodyText"/>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Review the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safeguarding policy on an annual basis</w:t>
      </w:r>
    </w:p>
    <w:p>
      <w:pPr>
        <w:pStyle w:val="BodyText"/>
        <w:numPr>
          <w:ilvl w:val="0"/>
          <w:numId w:val="9"/>
        </w:numPr>
        <w:spacing w:lineRule="auto" w:line="276" w:before="3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Link with learning networks and the local authority safeguarding unit to ensure that information on safeguarding is current and up to date</w:t>
      </w:r>
    </w:p>
    <w:p>
      <w:pPr>
        <w:pStyle w:val="BodyText"/>
        <w:spacing w:before="211" w:after="0"/>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enquiries relating to safeguarding issues should be addressed in the first instance to the</w:t>
      </w:r>
    </w:p>
    <w:p>
      <w:pPr>
        <w:pStyle w:val="BodyText"/>
        <w:tabs>
          <w:tab w:val="clear" w:pos="720"/>
          <w:tab w:val="left" w:pos="1391" w:leader="none"/>
          <w:tab w:val="left" w:pos="2879" w:leader="none"/>
          <w:tab w:val="left" w:pos="3689" w:leader="none"/>
        </w:tabs>
        <w:spacing w:lineRule="exact" w:line="253"/>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designated</w:t>
        <w:tab/>
        <w:t>safeguarding</w:t>
        <w:tab/>
        <w:t>officer</w:t>
        <w:tab/>
        <w:t xml:space="preserve">for </w:t>
      </w:r>
      <w:r>
        <w:rPr>
          <w:rFonts w:cs="Calibri" w:ascii="Calibri" w:hAnsi="Calibri" w:asciiTheme="minorHAnsi" w:cstheme="minorHAnsi" w:hAnsiTheme="minorHAnsi"/>
          <w:position w:val="1"/>
          <w:sz w:val="24"/>
          <w:szCs w:val="24"/>
          <w:highlight w:val="yellow"/>
        </w:rPr>
        <w:t>Untamed Kingdom Learning Center (UKLCASP)</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Assessment Centre.</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donh@uklcasp.com</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an incident</w:t>
      </w:r>
    </w:p>
    <w:p>
      <w:pPr>
        <w:pStyle w:val="BodyText"/>
        <w:spacing w:before="2"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200" w:right="11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direct or indirect disclosure or signs of abuse are spotted, please inform, in the first instance the Training &amp; Development Manager, with the following information:</w:t>
      </w:r>
    </w:p>
    <w:p>
      <w:pPr>
        <w:pStyle w:val="BodyText"/>
        <w:numPr>
          <w:ilvl w:val="1"/>
          <w:numId w:val="10"/>
        </w:numPr>
        <w:spacing w:lineRule="exact" w:line="25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your concerns are.</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when, who from and how you got the concerns. </w:t>
      </w:r>
    </w:p>
    <w:p>
      <w:pPr>
        <w:pStyle w:val="BodyText"/>
        <w:numPr>
          <w:ilvl w:val="1"/>
          <w:numId w:val="10"/>
        </w:numPr>
        <w:spacing w:lineRule="auto" w:line="288" w:before="54" w:after="0"/>
        <w:ind w:hanging="360" w:left="1440" w:right="30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 have done.</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Whether the parents/carers and learner are aware of this referral? </w:t>
      </w:r>
    </w:p>
    <w:p>
      <w:pPr>
        <w:pStyle w:val="BodyText"/>
        <w:numPr>
          <w:ilvl w:val="1"/>
          <w:numId w:val="10"/>
        </w:numPr>
        <w:spacing w:lineRule="auto" w:line="288" w:before="4" w:after="0"/>
        <w:ind w:hanging="360" w:left="1440" w:right="2177"/>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additional info about the learner. (Use the registration form) Contact information for anyone involved</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ight="114"/>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Send all report to</w:t>
      </w:r>
    </w:p>
    <w:p>
      <w:pPr>
        <w:pStyle w:val="BodyText"/>
        <w:tabs>
          <w:tab w:val="clear" w:pos="720"/>
          <w:tab w:val="left" w:pos="863" w:leader="none"/>
        </w:tabs>
        <w:ind w:left="1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Safeguarding Officer; </w:t>
      </w:r>
      <w:r>
        <w:rPr>
          <w:rFonts w:cs="Calibri" w:ascii="Calibri" w:hAnsi="Calibri" w:asciiTheme="minorHAnsi" w:cstheme="minorHAnsi" w:hAnsiTheme="minorHAnsi"/>
          <w:sz w:val="24"/>
          <w:szCs w:val="24"/>
          <w:highlight w:val="yellow"/>
        </w:rPr>
        <w:t>donh@uklcasp.com</w:t>
      </w:r>
    </w:p>
    <w:p>
      <w:pPr>
        <w:pStyle w:val="BodyText"/>
        <w:spacing w:before="1" w:after="0"/>
        <w:ind w:left="20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20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4"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10" wp14:anchorId="4E758F49">
                <wp:simplePos x="0" y="0"/>
                <wp:positionH relativeFrom="page">
                  <wp:posOffset>855980</wp:posOffset>
                </wp:positionH>
                <wp:positionV relativeFrom="paragraph">
                  <wp:posOffset>38100</wp:posOffset>
                </wp:positionV>
                <wp:extent cx="5067935" cy="1767840"/>
                <wp:effectExtent l="0" t="0" r="0" b="0"/>
                <wp:wrapNone/>
                <wp:docPr id="3" name="Text Box 2"/>
                <a:graphic xmlns:a="http://schemas.openxmlformats.org/drawingml/2006/main">
                  <a:graphicData uri="http://schemas.microsoft.com/office/word/2010/wordprocessingShape">
                    <wps:wsp>
                      <wps:cNvSpPr/>
                      <wps:spPr>
                        <a:xfrm>
                          <a:off x="0" y="0"/>
                          <a:ext cx="5068080" cy="1767960"/>
                        </a:xfrm>
                        <a:prstGeom prst="rect">
                          <a:avLst/>
                        </a:prstGeom>
                        <a:noFill/>
                        <a:ln w="0">
                          <a:noFill/>
                        </a:ln>
                      </wps:spPr>
                      <wps:style>
                        <a:lnRef idx="0"/>
                        <a:fillRef idx="0"/>
                        <a:effectRef idx="0"/>
                        <a:fontRef idx="minor"/>
                      </wps:style>
                      <wps:txb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 xml:space="preserve">Name: </w:t>
                                  </w:r>
                                  <w:r>
                                    <w:rPr>
                                      <w:b/>
                                      <w:shd w:fill="FFFF00" w:val="clear"/>
                                    </w:rPr>
                                    <w:t>Don E. Holmes III</w:t>
                                  </w:r>
                                </w:p>
                              </w:tc>
                            </w:tr>
                            <w:tr>
                              <w:trPr>
                                <w:trHeight w:val="492" w:hRule="atLeast"/>
                              </w:trPr>
                              <w:tc>
                                <w:tcPr>
                                  <w:tcW w:w="5151" w:type="dxa"/>
                                  <w:tcBorders/>
                                </w:tcPr>
                                <w:p>
                                  <w:pPr>
                                    <w:pStyle w:val="TableParagraph"/>
                                    <w:spacing w:before="122" w:after="0"/>
                                    <w:rPr>
                                      <w:b/>
                                    </w:rPr>
                                  </w:pPr>
                                  <w:r>
                                    <w:rPr>
                                      <w:b/>
                                    </w:rPr>
                                    <w:t xml:space="preserve">Position: </w:t>
                                  </w:r>
                                  <w:r>
                                    <w:rPr>
                                      <w:b/>
                                    </w:rPr>
                                    <w:t>V</w:t>
                                  </w:r>
                                  <w:r>
                                    <w:rPr>
                                      <w:b/>
                                      <w:highlight w:val="yellow"/>
                                    </w:rPr>
                                    <w:t>ice President</w:t>
                                  </w:r>
                                </w:p>
                              </w:tc>
                            </w:tr>
                            <w:tr>
                              <w:trPr>
                                <w:trHeight w:val="492" w:hRule="atLeast"/>
                              </w:trPr>
                              <w:tc>
                                <w:tcPr>
                                  <w:tcW w:w="5151" w:type="dxa"/>
                                  <w:tcBorders/>
                                </w:tcPr>
                                <w:p>
                                  <w:pPr>
                                    <w:pStyle w:val="TableParagraph"/>
                                    <w:spacing w:before="123" w:after="0"/>
                                    <w:rPr>
                                      <w:b/>
                                    </w:rPr>
                                  </w:pPr>
                                  <w:r>
                                    <w:rPr>
                                      <w:b/>
                                    </w:rPr>
                                    <w:t xml:space="preserve">Date: </w:t>
                                  </w:r>
                                  <w:r>
                                    <w:rPr>
                                      <w:b/>
                                    </w:rPr>
                                    <w:t>0</w:t>
                                  </w:r>
                                  <w:r>
                                    <w:rPr>
                                      <w:b/>
                                      <w:highlight w:val="yellow"/>
                                    </w:rPr>
                                    <w:t>7/20/2024</w:t>
                                  </w:r>
                                </w:p>
                              </w:tc>
                            </w:tr>
                            <w:tr>
                              <w:trPr>
                                <w:trHeight w:val="748" w:hRule="atLeast"/>
                              </w:trPr>
                              <w:tc>
                                <w:tcPr>
                                  <w:tcW w:w="5151" w:type="dxa"/>
                                  <w:tcBorders/>
                                </w:tcPr>
                                <w:p>
                                  <w:pPr>
                                    <w:pStyle w:val="TableParagraph"/>
                                    <w:spacing w:before="123" w:after="0"/>
                                    <w:rPr>
                                      <w:b/>
                                    </w:rPr>
                                  </w:pPr>
                                  <w:r>
                                    <w:rPr>
                                      <w:b/>
                                    </w:rPr>
                                    <w:t xml:space="preserve">Signature: </w:t>
                                  </w:r>
                                  <w:r>
                                    <w:rPr>
                                      <w:b/>
                                    </w:rPr>
                                    <w:t>D</w:t>
                                  </w:r>
                                  <w:r>
                                    <w:rPr>
                                      <w:b/>
                                      <w:highlight w:val="yellow"/>
                                    </w:rPr>
                                    <w:t>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pt;width:399pt;height:139.15pt;mso-wrap-style:none;v-text-anchor:middle;mso-position-horizontal-relative:page" wp14:anchorId="4E758F49">
                <v:fill o:detectmouseclick="t" on="false"/>
                <v:stroke color="#3465a4" joinstyle="round" endcap="flat"/>
                <v:textbo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spacing w:lineRule="exact" w:line="247"/>
                              <w:rPr>
                                <w:b/>
                              </w:rPr>
                            </w:pPr>
                            <w:r>
                              <w:rPr>
                                <w:b/>
                              </w:rPr>
                              <w:t xml:space="preserve">Name: </w:t>
                            </w:r>
                            <w:r>
                              <w:rPr>
                                <w:b/>
                                <w:shd w:fill="FFFF00" w:val="clear"/>
                              </w:rPr>
                              <w:t>Don E. Holmes III</w:t>
                            </w:r>
                          </w:p>
                        </w:tc>
                      </w:tr>
                      <w:tr>
                        <w:trPr>
                          <w:trHeight w:val="492" w:hRule="atLeast"/>
                        </w:trPr>
                        <w:tc>
                          <w:tcPr>
                            <w:tcW w:w="5151" w:type="dxa"/>
                            <w:tcBorders/>
                          </w:tcPr>
                          <w:p>
                            <w:pPr>
                              <w:pStyle w:val="TableParagraph"/>
                              <w:spacing w:before="122" w:after="0"/>
                              <w:rPr>
                                <w:b/>
                              </w:rPr>
                            </w:pPr>
                            <w:r>
                              <w:rPr>
                                <w:b/>
                              </w:rPr>
                              <w:t xml:space="preserve">Position: </w:t>
                            </w:r>
                            <w:r>
                              <w:rPr>
                                <w:b/>
                              </w:rPr>
                              <w:t>V</w:t>
                            </w:r>
                            <w:r>
                              <w:rPr>
                                <w:b/>
                                <w:highlight w:val="yellow"/>
                              </w:rPr>
                              <w:t>ice President</w:t>
                            </w:r>
                          </w:p>
                        </w:tc>
                      </w:tr>
                      <w:tr>
                        <w:trPr>
                          <w:trHeight w:val="492" w:hRule="atLeast"/>
                        </w:trPr>
                        <w:tc>
                          <w:tcPr>
                            <w:tcW w:w="5151" w:type="dxa"/>
                            <w:tcBorders/>
                          </w:tcPr>
                          <w:p>
                            <w:pPr>
                              <w:pStyle w:val="TableParagraph"/>
                              <w:spacing w:before="123" w:after="0"/>
                              <w:rPr>
                                <w:b/>
                              </w:rPr>
                            </w:pPr>
                            <w:r>
                              <w:rPr>
                                <w:b/>
                              </w:rPr>
                              <w:t xml:space="preserve">Date: </w:t>
                            </w:r>
                            <w:r>
                              <w:rPr>
                                <w:b/>
                              </w:rPr>
                              <w:t>0</w:t>
                            </w:r>
                            <w:r>
                              <w:rPr>
                                <w:b/>
                                <w:highlight w:val="yellow"/>
                              </w:rPr>
                              <w:t>7/20/2024</w:t>
                            </w:r>
                          </w:p>
                        </w:tc>
                      </w:tr>
                      <w:tr>
                        <w:trPr>
                          <w:trHeight w:val="748" w:hRule="atLeast"/>
                        </w:trPr>
                        <w:tc>
                          <w:tcPr>
                            <w:tcW w:w="5151" w:type="dxa"/>
                            <w:tcBorders/>
                          </w:tcPr>
                          <w:p>
                            <w:pPr>
                              <w:pStyle w:val="TableParagraph"/>
                              <w:spacing w:before="123" w:after="0"/>
                              <w:rPr>
                                <w:b/>
                              </w:rPr>
                            </w:pPr>
                            <w:r>
                              <w:rPr>
                                <w:b/>
                              </w:rPr>
                              <w:t xml:space="preserve">Signature: </w:t>
                            </w:r>
                            <w:r>
                              <w:rPr>
                                <w:b/>
                              </w:rPr>
                              <w:t>D</w:t>
                            </w:r>
                            <w:r>
                              <w:rPr>
                                <w:b/>
                                <w:highlight w:val="yellow"/>
                              </w:rPr>
                              <w:t>on E. Holmes III</w:t>
                            </w:r>
                          </w:p>
                        </w:tc>
                      </w:tr>
                      <w:tr>
                        <w:trPr>
                          <w:trHeight w:val="610" w:hRule="atLeast"/>
                        </w:trPr>
                        <w:tc>
                          <w:tcPr>
                            <w:tcW w:w="5151" w:type="dxa"/>
                            <w:tcBorders/>
                          </w:tcPr>
                          <w:p>
                            <w:pPr>
                              <w:pStyle w:val="TableParagraph"/>
                              <w:ind w:left="0"/>
                              <w:rPr>
                                <w:sz w:val="33"/>
                              </w:rPr>
                            </w:pPr>
                            <w:r>
                              <w:rPr>
                                <w:sz w:val="33"/>
                              </w:rPr>
                            </w:r>
                          </w:p>
                          <w:p>
                            <w:pPr>
                              <w:pStyle w:val="TableParagraph"/>
                              <w:spacing w:lineRule="exact" w:line="233"/>
                              <w:rPr>
                                <w:b/>
                              </w:rPr>
                            </w:pPr>
                            <w:r>
                              <w:rPr>
                                <w:b/>
                              </w:rPr>
                              <w:t xml:space="preserve">Review of Policy: </w:t>
                            </w:r>
                            <w:r>
                              <w:rPr>
                                <w:b/>
                                <w:highlight w:val="yellow"/>
                              </w:rPr>
                              <w:t>??</w:t>
                            </w:r>
                          </w:p>
                        </w:tc>
                      </w:tr>
                    </w:tbl>
                    <w:p>
                      <w:pPr>
                        <w:pStyle w:val="BodyText"/>
                        <w:rPr/>
                      </w:pPr>
                      <w:r>
                        <w:rPr/>
                      </w:r>
                    </w:p>
                  </w:txbxContent>
                </v:textbox>
                <w10:wrap type="none"/>
              </v:rect>
            </w:pict>
          </mc:Fallback>
        </mc:AlternateConten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489" w:before="0" w:after="0"/>
        <w:ind w:hanging="53" w:left="101" w:right="5149"/>
        <w:jc w:val="center"/>
        <w:rPr>
          <w:sz w:val="20"/>
        </w:rPr>
      </w:pPr>
      <w:r>
        <w:br w:type="column"/>
      </w:r>
      <w:r>
        <w:rPr>
          <w:sz w:val="20"/>
        </w:rPr>
      </w:r>
    </w:p>
    <w:p>
      <w:pPr>
        <w:pStyle w:val="Normal"/>
        <w:spacing w:before="65" w:after="0"/>
        <w:ind w:left="249" w:right="5256"/>
        <w:jc w:val="center"/>
        <w:rPr>
          <w:sz w:val="20"/>
        </w:rPr>
      </w:pPr>
      <w:r>
        <w:rPr>
          <w:sz w:val="20"/>
        </w:rPr>
      </w:r>
    </w:p>
    <w:sectPr>
      <w:type w:val="continuous"/>
      <w:pgSz w:w="11906" w:h="16838"/>
      <w:pgMar w:left="1340" w:right="1320" w:gutter="0" w:header="720" w:top="1020" w:footer="720" w:bottom="1380"/>
      <w:cols w:num="2" w:equalWidth="false" w:sep="false">
        <w:col w:w="3304" w:space="40"/>
        <w:col w:w="5901"/>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1"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sz w:val="28"/>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2"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rPr>
                        <w:sz w:val="28"/>
                      </w:rPr>
                    </w:pPr>
                    <w:r>
                      <w:rPr>
                        <w:sz w:val="2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 w:hanging="243"/>
      </w:pPr>
      <w:rPr>
        <w:sz w:val="22"/>
        <w:b/>
        <w:szCs w:val="22"/>
        <w:bCs/>
        <w:w w:val="100"/>
        <w:rFonts w:ascii="Arial" w:hAnsi="Arial" w:eastAsia="Arial" w:cs="Arial"/>
      </w:rPr>
    </w:lvl>
    <w:lvl w:ilvl="1">
      <w:start w:val="0"/>
      <w:numFmt w:val="bullet"/>
      <w:lvlText w:val=""/>
      <w:lvlJc w:val="left"/>
      <w:pPr>
        <w:tabs>
          <w:tab w:val="num" w:pos="0"/>
        </w:tabs>
        <w:ind w:left="1018" w:hanging="243"/>
      </w:pPr>
      <w:rPr>
        <w:rFonts w:ascii="Symbol" w:hAnsi="Symbol" w:cs="Symbol" w:hint="default"/>
      </w:rPr>
    </w:lvl>
    <w:lvl w:ilvl="2">
      <w:start w:val="0"/>
      <w:numFmt w:val="bullet"/>
      <w:lvlText w:val=""/>
      <w:lvlJc w:val="left"/>
      <w:pPr>
        <w:tabs>
          <w:tab w:val="num" w:pos="0"/>
        </w:tabs>
        <w:ind w:left="1937" w:hanging="243"/>
      </w:pPr>
      <w:rPr>
        <w:rFonts w:ascii="Symbol" w:hAnsi="Symbol" w:cs="Symbol" w:hint="default"/>
      </w:rPr>
    </w:lvl>
    <w:lvl w:ilvl="3">
      <w:start w:val="0"/>
      <w:numFmt w:val="bullet"/>
      <w:lvlText w:val=""/>
      <w:lvlJc w:val="left"/>
      <w:pPr>
        <w:tabs>
          <w:tab w:val="num" w:pos="0"/>
        </w:tabs>
        <w:ind w:left="2855" w:hanging="243"/>
      </w:pPr>
      <w:rPr>
        <w:rFonts w:ascii="Symbol" w:hAnsi="Symbol" w:cs="Symbol" w:hint="default"/>
      </w:rPr>
    </w:lvl>
    <w:lvl w:ilvl="4">
      <w:start w:val="0"/>
      <w:numFmt w:val="bullet"/>
      <w:lvlText w:val=""/>
      <w:lvlJc w:val="left"/>
      <w:pPr>
        <w:tabs>
          <w:tab w:val="num" w:pos="0"/>
        </w:tabs>
        <w:ind w:left="3774" w:hanging="243"/>
      </w:pPr>
      <w:rPr>
        <w:rFonts w:ascii="Symbol" w:hAnsi="Symbol" w:cs="Symbol" w:hint="default"/>
      </w:rPr>
    </w:lvl>
    <w:lvl w:ilvl="5">
      <w:start w:val="0"/>
      <w:numFmt w:val="bullet"/>
      <w:lvlText w:val=""/>
      <w:lvlJc w:val="left"/>
      <w:pPr>
        <w:tabs>
          <w:tab w:val="num" w:pos="0"/>
        </w:tabs>
        <w:ind w:left="4693" w:hanging="243"/>
      </w:pPr>
      <w:rPr>
        <w:rFonts w:ascii="Symbol" w:hAnsi="Symbol" w:cs="Symbol" w:hint="default"/>
      </w:rPr>
    </w:lvl>
    <w:lvl w:ilvl="6">
      <w:start w:val="0"/>
      <w:numFmt w:val="bullet"/>
      <w:lvlText w:val=""/>
      <w:lvlJc w:val="left"/>
      <w:pPr>
        <w:tabs>
          <w:tab w:val="num" w:pos="0"/>
        </w:tabs>
        <w:ind w:left="5611" w:hanging="243"/>
      </w:pPr>
      <w:rPr>
        <w:rFonts w:ascii="Symbol" w:hAnsi="Symbol" w:cs="Symbol" w:hint="default"/>
      </w:rPr>
    </w:lvl>
    <w:lvl w:ilvl="7">
      <w:start w:val="0"/>
      <w:numFmt w:val="bullet"/>
      <w:lvlText w:val=""/>
      <w:lvlJc w:val="left"/>
      <w:pPr>
        <w:tabs>
          <w:tab w:val="num" w:pos="0"/>
        </w:tabs>
        <w:ind w:left="6530" w:hanging="243"/>
      </w:pPr>
      <w:rPr>
        <w:rFonts w:ascii="Symbol" w:hAnsi="Symbol" w:cs="Symbol" w:hint="default"/>
      </w:rPr>
    </w:lvl>
    <w:lvl w:ilvl="8">
      <w:start w:val="0"/>
      <w:numFmt w:val="bullet"/>
      <w:lvlText w:val=""/>
      <w:lvlJc w:val="left"/>
      <w:pPr>
        <w:tabs>
          <w:tab w:val="num" w:pos="0"/>
        </w:tabs>
        <w:ind w:left="7449" w:hanging="243"/>
      </w:pPr>
      <w:rPr>
        <w:rFonts w:ascii="Symbol" w:hAnsi="Symbol" w:cs="Symbol" w:hint="default"/>
      </w:rPr>
    </w:lvl>
  </w:abstractNum>
  <w:abstractNum w:abstractNumId="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9">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10">
    <w:lvl w:ilvl="0">
      <w:numFmt w:val="bullet"/>
      <w:lvlText w:val="o"/>
      <w:lvlJc w:val="left"/>
      <w:pPr>
        <w:tabs>
          <w:tab w:val="num" w:pos="0"/>
        </w:tabs>
        <w:ind w:left="720" w:hanging="360"/>
      </w:pPr>
      <w:rPr>
        <w:rFonts w:ascii="Courier New" w:hAnsi="Courier New" w:cs="Courier New" w:hint="default"/>
        <w:sz w:val="22"/>
        <w:szCs w:val="22"/>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0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53a9"/>
    <w:rPr>
      <w:rFonts w:ascii="Arial" w:hAnsi="Arial" w:eastAsia="Arial" w:cs="Arial"/>
    </w:rPr>
  </w:style>
  <w:style w:type="character" w:styleId="FooterChar" w:customStyle="1">
    <w:name w:val="Footer Char"/>
    <w:basedOn w:val="DefaultParagraphFont"/>
    <w:link w:val="Footer"/>
    <w:uiPriority w:val="99"/>
    <w:qFormat/>
    <w:rsid w:val="00d153a9"/>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left="100" w:right="117"/>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153a9"/>
    <w:pPr>
      <w:tabs>
        <w:tab w:val="clear" w:pos="720"/>
        <w:tab w:val="center" w:pos="4513" w:leader="none"/>
        <w:tab w:val="right" w:pos="9026" w:leader="none"/>
      </w:tabs>
    </w:pPr>
    <w:rPr/>
  </w:style>
  <w:style w:type="paragraph" w:styleId="Footer">
    <w:name w:val="Footer"/>
    <w:basedOn w:val="Normal"/>
    <w:link w:val="FooterChar"/>
    <w:uiPriority w:val="99"/>
    <w:unhideWhenUsed/>
    <w:rsid w:val="00d153a9"/>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4</Pages>
  <Words>1266</Words>
  <Characters>7110</Characters>
  <CharactersWithSpaces>8259</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2022-12-05T16:44:00Z</dcterms:created>
  <dc:creator>Sue Mottershead</dc:creator>
  <dc:description/>
  <dc:language>en-US</dc:language>
  <cp:lastModifiedBy/>
  <dcterms:modified xsi:type="dcterms:W3CDTF">2024-07-20T18:28:23Z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